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8EB11">
      <w:pPr>
        <w:jc w:val="center"/>
        <w:rPr>
          <w:rFonts w:hint="eastAsia" w:ascii="宋体" w:hAnsi="宋体" w:eastAsia="宋体" w:cs="宋体"/>
          <w:color w:val="auto"/>
          <w:sz w:val="40"/>
          <w:szCs w:val="40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40"/>
          <w:szCs w:val="40"/>
          <w:highlight w:val="none"/>
        </w:rPr>
        <w:t>市场调研资料</w:t>
      </w:r>
    </w:p>
    <w:p w14:paraId="035FBBD5">
      <w:pPr>
        <w:pStyle w:val="3"/>
        <w:bidi w:val="0"/>
        <w:jc w:val="center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1.基本情况表</w:t>
      </w:r>
    </w:p>
    <w:tbl>
      <w:tblPr>
        <w:tblStyle w:val="6"/>
        <w:tblW w:w="9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3016"/>
        <w:gridCol w:w="2162"/>
        <w:gridCol w:w="2591"/>
      </w:tblGrid>
      <w:tr w14:paraId="67266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2010" w:type="dxa"/>
            <w:noWrap w:val="0"/>
            <w:vAlign w:val="center"/>
          </w:tcPr>
          <w:p w14:paraId="56262FF7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769" w:type="dxa"/>
            <w:gridSpan w:val="3"/>
            <w:noWrap w:val="0"/>
            <w:vAlign w:val="center"/>
          </w:tcPr>
          <w:p w14:paraId="5931EB3E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eastAsia="zh-CN"/>
              </w:rPr>
              <w:t>昆明医科大学第一附属医院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超声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eastAsia="zh-CN"/>
              </w:rPr>
              <w:t>设备维修保养服务</w:t>
            </w:r>
            <w:bookmarkStart w:id="0" w:name="_GoBack"/>
            <w:bookmarkEnd w:id="0"/>
          </w:p>
        </w:tc>
      </w:tr>
      <w:tr w14:paraId="0D702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010" w:type="dxa"/>
            <w:noWrap w:val="0"/>
            <w:vAlign w:val="center"/>
          </w:tcPr>
          <w:p w14:paraId="15ACE34D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供应商名称（盖章）</w:t>
            </w:r>
          </w:p>
        </w:tc>
        <w:tc>
          <w:tcPr>
            <w:tcW w:w="7769" w:type="dxa"/>
            <w:gridSpan w:val="3"/>
            <w:noWrap w:val="0"/>
            <w:vAlign w:val="center"/>
          </w:tcPr>
          <w:p w14:paraId="1477B1C1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</w:rPr>
            </w:pPr>
          </w:p>
        </w:tc>
      </w:tr>
      <w:tr w14:paraId="45968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010" w:type="dxa"/>
            <w:noWrap w:val="0"/>
            <w:vAlign w:val="center"/>
          </w:tcPr>
          <w:p w14:paraId="75ED97DD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供应商</w:t>
            </w:r>
          </w:p>
        </w:tc>
        <w:tc>
          <w:tcPr>
            <w:tcW w:w="7769" w:type="dxa"/>
            <w:gridSpan w:val="3"/>
            <w:noWrap w:val="0"/>
            <w:vAlign w:val="center"/>
          </w:tcPr>
          <w:p w14:paraId="2BAE42EF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（1）中型企业（     ）  小型企业（    ）  微型企业（    ）；</w:t>
            </w:r>
          </w:p>
          <w:p w14:paraId="46F1E7DD">
            <w:pPr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（2）</w:t>
            </w:r>
            <w:r>
              <w:rPr>
                <w:rFonts w:hint="default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highlight w:val="none"/>
                <w:vertAlign w:val="baseline"/>
                <w:lang w:val="en-US" w:eastAsia="zh-CN"/>
              </w:rPr>
              <w:t>（全部/部分）</w:t>
            </w:r>
            <w:r>
              <w:rPr>
                <w:rFonts w:hint="default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由符合政策要求的中小企业承接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。</w:t>
            </w:r>
          </w:p>
        </w:tc>
      </w:tr>
      <w:tr w14:paraId="62DBD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2010" w:type="dxa"/>
            <w:noWrap w:val="0"/>
            <w:vAlign w:val="center"/>
          </w:tcPr>
          <w:p w14:paraId="39B3E9DC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维保服务方案概述</w:t>
            </w:r>
          </w:p>
        </w:tc>
        <w:tc>
          <w:tcPr>
            <w:tcW w:w="7769" w:type="dxa"/>
            <w:gridSpan w:val="3"/>
            <w:noWrap w:val="0"/>
            <w:vAlign w:val="center"/>
          </w:tcPr>
          <w:p w14:paraId="0DDDE9CB">
            <w:pPr>
              <w:jc w:val="left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</w:rPr>
            </w:pPr>
          </w:p>
        </w:tc>
      </w:tr>
      <w:tr w14:paraId="046E3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010" w:type="dxa"/>
            <w:noWrap w:val="0"/>
            <w:vAlign w:val="center"/>
          </w:tcPr>
          <w:p w14:paraId="7BE9BFF4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</w:rPr>
              <w:t>各品牌维修授权书</w:t>
            </w:r>
          </w:p>
        </w:tc>
        <w:tc>
          <w:tcPr>
            <w:tcW w:w="7769" w:type="dxa"/>
            <w:gridSpan w:val="3"/>
            <w:noWrap w:val="0"/>
            <w:vAlign w:val="center"/>
          </w:tcPr>
          <w:p w14:paraId="485E5EEF">
            <w:pPr>
              <w:jc w:val="left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1.</w:t>
            </w:r>
          </w:p>
          <w:p w14:paraId="3F30CF39">
            <w:pPr>
              <w:jc w:val="left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2.</w:t>
            </w:r>
          </w:p>
          <w:p w14:paraId="346A1FEE">
            <w:pPr>
              <w:jc w:val="left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3.</w:t>
            </w:r>
          </w:p>
          <w:p w14:paraId="0C8283B5">
            <w:pPr>
              <w:jc w:val="left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……</w:t>
            </w:r>
          </w:p>
        </w:tc>
      </w:tr>
      <w:tr w14:paraId="189C4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010" w:type="dxa"/>
            <w:noWrap w:val="0"/>
            <w:vAlign w:val="center"/>
          </w:tcPr>
          <w:p w14:paraId="3BEF7743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拟派驻场服务工程师（姓名和证书）</w:t>
            </w:r>
          </w:p>
        </w:tc>
        <w:tc>
          <w:tcPr>
            <w:tcW w:w="7769" w:type="dxa"/>
            <w:gridSpan w:val="3"/>
            <w:noWrap w:val="0"/>
            <w:vAlign w:val="center"/>
          </w:tcPr>
          <w:p w14:paraId="1886EDC7">
            <w:pPr>
              <w:jc w:val="left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1.</w:t>
            </w:r>
          </w:p>
          <w:p w14:paraId="328D95A4">
            <w:pPr>
              <w:jc w:val="left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2.</w:t>
            </w:r>
          </w:p>
          <w:p w14:paraId="0B18080D">
            <w:pPr>
              <w:jc w:val="left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3.</w:t>
            </w:r>
          </w:p>
          <w:p w14:paraId="513D479B">
            <w:pPr>
              <w:jc w:val="left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……</w:t>
            </w:r>
          </w:p>
        </w:tc>
      </w:tr>
      <w:tr w14:paraId="3847B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2010" w:type="dxa"/>
            <w:noWrap w:val="0"/>
            <w:vAlign w:val="center"/>
          </w:tcPr>
          <w:p w14:paraId="02911451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备件仓库</w:t>
            </w:r>
          </w:p>
        </w:tc>
        <w:tc>
          <w:tcPr>
            <w:tcW w:w="3016" w:type="dxa"/>
            <w:noWrap w:val="0"/>
            <w:vAlign w:val="center"/>
          </w:tcPr>
          <w:p w14:paraId="67D095B9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供应商自有（       ）</w:t>
            </w:r>
          </w:p>
          <w:p w14:paraId="4E62B8D8">
            <w:pPr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供应商租赁（       ）</w:t>
            </w:r>
          </w:p>
        </w:tc>
        <w:tc>
          <w:tcPr>
            <w:tcW w:w="2162" w:type="dxa"/>
            <w:noWrap w:val="0"/>
            <w:vAlign w:val="center"/>
          </w:tcPr>
          <w:p w14:paraId="13BC93D6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备件仓库地址</w:t>
            </w:r>
          </w:p>
        </w:tc>
        <w:tc>
          <w:tcPr>
            <w:tcW w:w="2591" w:type="dxa"/>
            <w:noWrap w:val="0"/>
            <w:vAlign w:val="center"/>
          </w:tcPr>
          <w:p w14:paraId="6778FD43">
            <w:pPr>
              <w:jc w:val="left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</w:p>
        </w:tc>
      </w:tr>
      <w:tr w14:paraId="47BCC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010" w:type="dxa"/>
            <w:noWrap w:val="0"/>
            <w:vAlign w:val="center"/>
          </w:tcPr>
          <w:p w14:paraId="7C8E007B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资产管理软件系统</w:t>
            </w:r>
          </w:p>
        </w:tc>
        <w:tc>
          <w:tcPr>
            <w:tcW w:w="3016" w:type="dxa"/>
            <w:noWrap w:val="0"/>
            <w:vAlign w:val="center"/>
          </w:tcPr>
          <w:p w14:paraId="4CC477AC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有（     ） 无（     ）</w:t>
            </w:r>
          </w:p>
        </w:tc>
        <w:tc>
          <w:tcPr>
            <w:tcW w:w="2162" w:type="dxa"/>
            <w:noWrap w:val="0"/>
            <w:vAlign w:val="center"/>
          </w:tcPr>
          <w:p w14:paraId="1CFD49A1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资产管理软件系统名称</w:t>
            </w:r>
          </w:p>
        </w:tc>
        <w:tc>
          <w:tcPr>
            <w:tcW w:w="2591" w:type="dxa"/>
            <w:noWrap w:val="0"/>
            <w:vAlign w:val="center"/>
          </w:tcPr>
          <w:p w14:paraId="643E54B7">
            <w:pPr>
              <w:jc w:val="left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</w:p>
        </w:tc>
      </w:tr>
      <w:tr w14:paraId="31550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010" w:type="dxa"/>
            <w:noWrap w:val="0"/>
            <w:vAlign w:val="center"/>
          </w:tcPr>
          <w:p w14:paraId="2409E89D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</w:rPr>
              <w:t>培训方案</w:t>
            </w:r>
          </w:p>
        </w:tc>
        <w:tc>
          <w:tcPr>
            <w:tcW w:w="7769" w:type="dxa"/>
            <w:gridSpan w:val="3"/>
            <w:noWrap w:val="0"/>
            <w:vAlign w:val="center"/>
          </w:tcPr>
          <w:p w14:paraId="0FD278D2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</w:p>
        </w:tc>
      </w:tr>
      <w:tr w14:paraId="0CADC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10" w:type="dxa"/>
            <w:noWrap w:val="0"/>
            <w:vAlign w:val="center"/>
          </w:tcPr>
          <w:p w14:paraId="48B5FCA6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</w:rPr>
              <w:t>应急预案</w:t>
            </w:r>
          </w:p>
        </w:tc>
        <w:tc>
          <w:tcPr>
            <w:tcW w:w="7769" w:type="dxa"/>
            <w:gridSpan w:val="3"/>
            <w:noWrap w:val="0"/>
            <w:vAlign w:val="center"/>
          </w:tcPr>
          <w:p w14:paraId="78EC130E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</w:p>
        </w:tc>
      </w:tr>
      <w:tr w14:paraId="10DC5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2010" w:type="dxa"/>
            <w:noWrap w:val="0"/>
            <w:vAlign w:val="center"/>
          </w:tcPr>
          <w:p w14:paraId="23E0F91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</w:rPr>
              <w:t>类似项目业绩（包括：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</w:rPr>
              <w:t>内容、金额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服务期限等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</w:rPr>
              <w:t>）</w:t>
            </w:r>
          </w:p>
        </w:tc>
        <w:tc>
          <w:tcPr>
            <w:tcW w:w="7769" w:type="dxa"/>
            <w:gridSpan w:val="3"/>
            <w:noWrap w:val="0"/>
            <w:vAlign w:val="center"/>
          </w:tcPr>
          <w:p w14:paraId="39729CA6">
            <w:pPr>
              <w:jc w:val="left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1.</w:t>
            </w:r>
          </w:p>
          <w:p w14:paraId="776C812F">
            <w:pPr>
              <w:jc w:val="left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2.</w:t>
            </w:r>
          </w:p>
          <w:p w14:paraId="6A25946B">
            <w:pPr>
              <w:jc w:val="left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3.</w:t>
            </w:r>
          </w:p>
          <w:p w14:paraId="5AF0C262">
            <w:pPr>
              <w:jc w:val="left"/>
              <w:rPr>
                <w:rFonts w:hint="default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……</w:t>
            </w:r>
          </w:p>
        </w:tc>
      </w:tr>
      <w:tr w14:paraId="5867C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2010" w:type="dxa"/>
            <w:noWrap w:val="0"/>
            <w:vAlign w:val="center"/>
          </w:tcPr>
          <w:p w14:paraId="0065E0FA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其他说明（如有）</w:t>
            </w:r>
          </w:p>
        </w:tc>
        <w:tc>
          <w:tcPr>
            <w:tcW w:w="7769" w:type="dxa"/>
            <w:gridSpan w:val="3"/>
            <w:noWrap w:val="0"/>
            <w:vAlign w:val="center"/>
          </w:tcPr>
          <w:p w14:paraId="427F8FDB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</w:rPr>
            </w:pPr>
          </w:p>
        </w:tc>
      </w:tr>
    </w:tbl>
    <w:tbl>
      <w:tblPr>
        <w:tblStyle w:val="5"/>
        <w:tblpPr w:leftFromText="180" w:rightFromText="180" w:vertAnchor="text" w:horzAnchor="page" w:tblpX="520" w:tblpY="1341"/>
        <w:tblOverlap w:val="never"/>
        <w:tblW w:w="10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60"/>
        <w:gridCol w:w="2165"/>
        <w:gridCol w:w="1330"/>
        <w:gridCol w:w="1500"/>
        <w:gridCol w:w="2059"/>
        <w:gridCol w:w="1873"/>
        <w:gridCol w:w="1509"/>
      </w:tblGrid>
      <w:tr w14:paraId="25FE0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atLeast"/>
          <w:jc w:val="center"/>
        </w:trPr>
        <w:tc>
          <w:tcPr>
            <w:tcW w:w="460" w:type="dxa"/>
            <w:vMerge w:val="restart"/>
            <w:noWrap w:val="0"/>
            <w:vAlign w:val="center"/>
          </w:tcPr>
          <w:p w14:paraId="0F38F681">
            <w:pPr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br w:type="page"/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zh-CN"/>
              </w:rPr>
              <w:t>序号</w:t>
            </w:r>
          </w:p>
        </w:tc>
        <w:tc>
          <w:tcPr>
            <w:tcW w:w="2165" w:type="dxa"/>
            <w:vMerge w:val="restart"/>
            <w:noWrap w:val="0"/>
            <w:vAlign w:val="center"/>
          </w:tcPr>
          <w:p w14:paraId="7DD50E89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</w:rPr>
              <w:t>服务内容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en-US" w:eastAsia="zh-CN"/>
              </w:rPr>
              <w:t>(**设备维保服务）</w:t>
            </w:r>
          </w:p>
        </w:tc>
        <w:tc>
          <w:tcPr>
            <w:tcW w:w="1330" w:type="dxa"/>
            <w:vMerge w:val="restart"/>
            <w:noWrap w:val="0"/>
            <w:vAlign w:val="center"/>
          </w:tcPr>
          <w:p w14:paraId="24E2CF78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en-US" w:eastAsia="zh-CN"/>
              </w:rPr>
              <w:t>品牌</w:t>
            </w:r>
          </w:p>
        </w:tc>
        <w:tc>
          <w:tcPr>
            <w:tcW w:w="1500" w:type="dxa"/>
            <w:vMerge w:val="restart"/>
            <w:noWrap w:val="0"/>
            <w:vAlign w:val="center"/>
          </w:tcPr>
          <w:p w14:paraId="2E4B5B1E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en-US" w:eastAsia="zh-CN"/>
              </w:rPr>
              <w:t>数量</w:t>
            </w:r>
          </w:p>
        </w:tc>
        <w:tc>
          <w:tcPr>
            <w:tcW w:w="2059" w:type="dxa"/>
            <w:noWrap w:val="0"/>
            <w:vAlign w:val="center"/>
          </w:tcPr>
          <w:p w14:paraId="71F574B5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en-US" w:eastAsia="zh-CN"/>
              </w:rPr>
              <w:t>服务期为一年时</w:t>
            </w:r>
          </w:p>
        </w:tc>
        <w:tc>
          <w:tcPr>
            <w:tcW w:w="1873" w:type="dxa"/>
            <w:noWrap w:val="0"/>
            <w:vAlign w:val="center"/>
          </w:tcPr>
          <w:p w14:paraId="7F90AA29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en-US" w:eastAsia="zh-CN"/>
              </w:rPr>
              <w:t>服务期为三年时</w:t>
            </w:r>
          </w:p>
        </w:tc>
        <w:tc>
          <w:tcPr>
            <w:tcW w:w="1509" w:type="dxa"/>
            <w:vMerge w:val="restart"/>
            <w:noWrap w:val="0"/>
            <w:vAlign w:val="center"/>
          </w:tcPr>
          <w:p w14:paraId="0F46F334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</w:rPr>
              <w:t>备注</w:t>
            </w:r>
          </w:p>
        </w:tc>
      </w:tr>
      <w:tr w14:paraId="6BE3E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atLeast"/>
          <w:jc w:val="center"/>
        </w:trPr>
        <w:tc>
          <w:tcPr>
            <w:tcW w:w="460" w:type="dxa"/>
            <w:vMerge w:val="continue"/>
            <w:noWrap w:val="0"/>
            <w:vAlign w:val="center"/>
          </w:tcPr>
          <w:p w14:paraId="1A4191FF">
            <w:pPr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165" w:type="dxa"/>
            <w:vMerge w:val="continue"/>
            <w:noWrap w:val="0"/>
            <w:vAlign w:val="center"/>
          </w:tcPr>
          <w:p w14:paraId="082A2B3D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</w:rPr>
            </w:pPr>
          </w:p>
        </w:tc>
        <w:tc>
          <w:tcPr>
            <w:tcW w:w="1330" w:type="dxa"/>
            <w:vMerge w:val="continue"/>
            <w:noWrap w:val="0"/>
            <w:vAlign w:val="center"/>
          </w:tcPr>
          <w:p w14:paraId="5228045A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en-US" w:eastAsia="zh-CN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 w14:paraId="6F706246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en-US" w:eastAsia="zh-CN"/>
              </w:rPr>
            </w:pPr>
          </w:p>
        </w:tc>
        <w:tc>
          <w:tcPr>
            <w:tcW w:w="2059" w:type="dxa"/>
            <w:noWrap w:val="0"/>
            <w:vAlign w:val="center"/>
          </w:tcPr>
          <w:p w14:paraId="25E037E8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</w:rPr>
              <w:t>报价（元/年）</w:t>
            </w:r>
          </w:p>
        </w:tc>
        <w:tc>
          <w:tcPr>
            <w:tcW w:w="1873" w:type="dxa"/>
            <w:noWrap w:val="0"/>
            <w:vAlign w:val="center"/>
          </w:tcPr>
          <w:p w14:paraId="79830E6C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</w:rPr>
              <w:t>报价（元/年）</w:t>
            </w:r>
          </w:p>
        </w:tc>
        <w:tc>
          <w:tcPr>
            <w:tcW w:w="1509" w:type="dxa"/>
            <w:vMerge w:val="continue"/>
            <w:noWrap w:val="0"/>
            <w:vAlign w:val="center"/>
          </w:tcPr>
          <w:p w14:paraId="5EA529EE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</w:rPr>
            </w:pPr>
          </w:p>
        </w:tc>
      </w:tr>
      <w:tr w14:paraId="436CA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8" w:hRule="atLeast"/>
          <w:jc w:val="center"/>
        </w:trPr>
        <w:tc>
          <w:tcPr>
            <w:tcW w:w="460" w:type="dxa"/>
            <w:noWrap w:val="0"/>
            <w:vAlign w:val="center"/>
          </w:tcPr>
          <w:p w14:paraId="1FC12035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  <w:t>1</w:t>
            </w:r>
          </w:p>
        </w:tc>
        <w:tc>
          <w:tcPr>
            <w:tcW w:w="2165" w:type="dxa"/>
            <w:noWrap w:val="0"/>
            <w:vAlign w:val="center"/>
          </w:tcPr>
          <w:p w14:paraId="505D4A31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769DA140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26F5DD94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2059" w:type="dxa"/>
            <w:noWrap w:val="0"/>
            <w:vAlign w:val="center"/>
          </w:tcPr>
          <w:p w14:paraId="5B0A7716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873" w:type="dxa"/>
            <w:noWrap w:val="0"/>
            <w:vAlign w:val="center"/>
          </w:tcPr>
          <w:p w14:paraId="65597D0D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008146A5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</w:tr>
      <w:tr w14:paraId="401FF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8" w:hRule="atLeast"/>
          <w:jc w:val="center"/>
        </w:trPr>
        <w:tc>
          <w:tcPr>
            <w:tcW w:w="460" w:type="dxa"/>
            <w:noWrap w:val="0"/>
            <w:vAlign w:val="center"/>
          </w:tcPr>
          <w:p w14:paraId="1EEC5F03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  <w:t>2</w:t>
            </w:r>
          </w:p>
        </w:tc>
        <w:tc>
          <w:tcPr>
            <w:tcW w:w="2165" w:type="dxa"/>
            <w:noWrap w:val="0"/>
            <w:vAlign w:val="center"/>
          </w:tcPr>
          <w:p w14:paraId="55A4E7FF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6DCB6919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473CF67B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2059" w:type="dxa"/>
            <w:noWrap w:val="0"/>
            <w:vAlign w:val="center"/>
          </w:tcPr>
          <w:p w14:paraId="3DF17F6A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873" w:type="dxa"/>
            <w:noWrap w:val="0"/>
            <w:vAlign w:val="center"/>
          </w:tcPr>
          <w:p w14:paraId="2FDA16A1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119BC452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</w:tr>
      <w:tr w14:paraId="77B50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8" w:hRule="atLeast"/>
          <w:jc w:val="center"/>
        </w:trPr>
        <w:tc>
          <w:tcPr>
            <w:tcW w:w="460" w:type="dxa"/>
            <w:noWrap w:val="0"/>
            <w:vAlign w:val="center"/>
          </w:tcPr>
          <w:p w14:paraId="706DED5D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  <w:t>3</w:t>
            </w:r>
          </w:p>
        </w:tc>
        <w:tc>
          <w:tcPr>
            <w:tcW w:w="2165" w:type="dxa"/>
            <w:noWrap w:val="0"/>
            <w:vAlign w:val="center"/>
          </w:tcPr>
          <w:p w14:paraId="16922FF6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6DA714C6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237BCE86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2059" w:type="dxa"/>
            <w:noWrap w:val="0"/>
            <w:vAlign w:val="center"/>
          </w:tcPr>
          <w:p w14:paraId="0E855D42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873" w:type="dxa"/>
            <w:noWrap w:val="0"/>
            <w:vAlign w:val="center"/>
          </w:tcPr>
          <w:p w14:paraId="5799A765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6F6CE2CB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</w:tr>
      <w:tr w14:paraId="6DE59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8" w:hRule="atLeast"/>
          <w:jc w:val="center"/>
        </w:trPr>
        <w:tc>
          <w:tcPr>
            <w:tcW w:w="460" w:type="dxa"/>
            <w:noWrap w:val="0"/>
            <w:vAlign w:val="center"/>
          </w:tcPr>
          <w:p w14:paraId="2D487711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  <w:t>4</w:t>
            </w:r>
          </w:p>
        </w:tc>
        <w:tc>
          <w:tcPr>
            <w:tcW w:w="2165" w:type="dxa"/>
            <w:noWrap w:val="0"/>
            <w:vAlign w:val="center"/>
          </w:tcPr>
          <w:p w14:paraId="6D9A8D22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5D9C78A7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4B268AF1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2059" w:type="dxa"/>
            <w:noWrap w:val="0"/>
            <w:vAlign w:val="center"/>
          </w:tcPr>
          <w:p w14:paraId="7F2D1581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873" w:type="dxa"/>
            <w:noWrap w:val="0"/>
            <w:vAlign w:val="center"/>
          </w:tcPr>
          <w:p w14:paraId="62DB4EDE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38580E3F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</w:tr>
      <w:tr w14:paraId="716E6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8" w:hRule="atLeast"/>
          <w:jc w:val="center"/>
        </w:trPr>
        <w:tc>
          <w:tcPr>
            <w:tcW w:w="460" w:type="dxa"/>
            <w:noWrap w:val="0"/>
            <w:vAlign w:val="center"/>
          </w:tcPr>
          <w:p w14:paraId="74D6C986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  <w:t>…</w:t>
            </w:r>
          </w:p>
        </w:tc>
        <w:tc>
          <w:tcPr>
            <w:tcW w:w="2165" w:type="dxa"/>
            <w:noWrap w:val="0"/>
            <w:vAlign w:val="center"/>
          </w:tcPr>
          <w:p w14:paraId="0D33B6D7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3C9CCE50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6FB74DFD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2059" w:type="dxa"/>
            <w:noWrap w:val="0"/>
            <w:vAlign w:val="center"/>
          </w:tcPr>
          <w:p w14:paraId="01CBC3C1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873" w:type="dxa"/>
            <w:noWrap w:val="0"/>
            <w:vAlign w:val="center"/>
          </w:tcPr>
          <w:p w14:paraId="2806B9B0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0C87718A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</w:tr>
      <w:tr w14:paraId="7F0CC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37" w:hRule="atLeast"/>
          <w:jc w:val="center"/>
        </w:trPr>
        <w:tc>
          <w:tcPr>
            <w:tcW w:w="2625" w:type="dxa"/>
            <w:gridSpan w:val="2"/>
            <w:noWrap w:val="0"/>
            <w:vAlign w:val="center"/>
          </w:tcPr>
          <w:p w14:paraId="1824B41C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zh-CN"/>
              </w:rPr>
              <w:t>预计总费用（元/年）</w:t>
            </w:r>
          </w:p>
        </w:tc>
        <w:tc>
          <w:tcPr>
            <w:tcW w:w="2830" w:type="dxa"/>
            <w:gridSpan w:val="2"/>
            <w:noWrap w:val="0"/>
            <w:vAlign w:val="center"/>
          </w:tcPr>
          <w:p w14:paraId="53AF8345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3932" w:type="dxa"/>
            <w:gridSpan w:val="2"/>
            <w:noWrap w:val="0"/>
            <w:vAlign w:val="center"/>
          </w:tcPr>
          <w:p w14:paraId="0A332AB0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zh-CN"/>
              </w:rPr>
              <w:t>大写：</w:t>
            </w:r>
          </w:p>
          <w:p w14:paraId="06DF990C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zh-CN"/>
              </w:rPr>
              <w:t>小写：</w:t>
            </w:r>
          </w:p>
        </w:tc>
        <w:tc>
          <w:tcPr>
            <w:tcW w:w="1509" w:type="dxa"/>
            <w:noWrap w:val="0"/>
            <w:vAlign w:val="center"/>
          </w:tcPr>
          <w:p w14:paraId="1695BFBC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zh-CN"/>
              </w:rPr>
            </w:pPr>
          </w:p>
        </w:tc>
      </w:tr>
    </w:tbl>
    <w:p w14:paraId="6AAA6E85">
      <w:pPr>
        <w:pStyle w:val="3"/>
        <w:bidi w:val="0"/>
        <w:jc w:val="center"/>
        <w:rPr>
          <w:rFonts w:hint="default" w:ascii="宋体" w:hAnsi="宋体" w:eastAsia="宋体" w:cs="宋体"/>
          <w:b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highlight w:val="none"/>
          <w:lang w:val="en-US" w:eastAsia="zh-CN"/>
        </w:rPr>
        <w:t>2.分项报价表</w:t>
      </w:r>
    </w:p>
    <w:p w14:paraId="53FC84C6">
      <w:pPr>
        <w:pStyle w:val="8"/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注：</w:t>
      </w:r>
    </w:p>
    <w:p w14:paraId="3551BCE1">
      <w:pPr>
        <w:pStyle w:val="8"/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（1）本表中“预计总费用（元/年）”须与“基本情况表”中金额保持一致。</w:t>
      </w:r>
    </w:p>
    <w:p w14:paraId="01875005">
      <w:pPr>
        <w:pStyle w:val="8"/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（2）为满足采购需求，供应商不得存在实质性缺漏。供应商可自行添加行。</w:t>
      </w:r>
    </w:p>
    <w:p w14:paraId="42DAF2A8">
      <w:pPr>
        <w:pStyle w:val="8"/>
        <w:spacing w:line="360" w:lineRule="auto"/>
        <w:ind w:left="0" w:leftChars="0" w:firstLine="0" w:firstLineChars="0"/>
        <w:jc w:val="left"/>
        <w:rPr>
          <w:rFonts w:hint="default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（3）允许供应商根据服务期限的不同填报不同的意向服务价格（元/年）</w:t>
      </w:r>
    </w:p>
    <w:p w14:paraId="393F1464"/>
    <w:sectPr>
      <w:footerReference r:id="rId3" w:type="default"/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ECC5B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A9713A0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9713A0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0F560D"/>
    <w:rsid w:val="2B524D23"/>
    <w:rsid w:val="780F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unhideWhenUsed/>
    <w:qFormat/>
    <w:uiPriority w:val="99"/>
    <w:rPr>
      <w:rFonts w:ascii="Microsoft YaHei UI" w:eastAsia="Microsoft YaHei UI"/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2026-03-03T08:13:00Z</dcterms:created>
  <dc:creator>曾一帆</dc:creator>
  <cp:lastModifiedBy>曾一帆</cp:lastModifiedBy>
  <dcterms:modified xsi:type="dcterms:W3CDTF">2026-03-03T08:16:05Z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43F1066ADA654B128DAD0F020B58BB95_11</vt:lpwstr>
  </property>
  <property fmtid="{D5CDD505-2E9C-101B-9397-08002B2CF9AE}" pid="4" name="KSOTemplateDocerSaveRecord">
    <vt:lpwstr>eyJoZGlkIjoiYTc5MjY5MjA0YjA1NmM0ODBkN2YxYzAyYmVhYjZjMmIiLCJ1c2VySWQiOiIxNTYwNDIwMTk3In0=</vt:lpwstr>
  </property>
</Properties>
</file>